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800"/>
        <w:jc w:val="left"/>
      </w:pPr>
      <w:r>
        <w:rPr>
          <w:rFonts w:ascii="Arial" w:cs="Arial" w:eastAsia="Arial" w:hAnsi="Arial"/>
          <w:b/>
          <w:bCs/>
          <w:color w:val="0B1C3C"/>
          <w:sz w:val="56"/>
          <w:szCs w:val="56"/>
        </w:rPr>
        <w:t xml:space="preserve">ПЛАН РАЗВИТИЯ</w:t>
      </w:r>
    </w:p>
    <w:p>
      <w:pPr>
        <w:spacing w:after="80"/>
      </w:pPr>
      <w:r>
        <w:rPr>
          <w:rFonts w:ascii="Arial" w:cs="Arial" w:eastAsia="Arial" w:hAnsi="Arial"/>
          <w:color w:val="1E4080"/>
          <w:sz w:val="26"/>
          <w:szCs w:val="26"/>
        </w:rPr>
        <w:t xml:space="preserve">ТОО «КАЭС» — Казахстанские атомные электрические станции</w:t>
      </w:r>
    </w:p>
    <w:p>
      <w:pPr>
        <w:pBdr>
          <w:bottom w:val="single" w:color="1E4080" w:sz="6" w:space="16"/>
        </w:pBdr>
        <w:spacing w:after="800"/>
      </w:pPr>
      <w:r>
        <w:rPr>
          <w:rFonts w:ascii="Arial" w:cs="Arial" w:eastAsia="Arial" w:hAnsi="Arial"/>
          <w:i/>
          <w:iCs/>
          <w:color w:val="6B7280"/>
          <w:sz w:val="24"/>
          <w:szCs w:val="24"/>
        </w:rPr>
        <w:t xml:space="preserve">2024 — 2035</w:t>
      </w:r>
    </w:p>
    <w:p>
      <w:pPr>
        <w:pStyle w:val="Heading1"/>
      </w:pPr>
      <w:r>
        <w:t xml:space="preserve">1. О компании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ТОО «Казахстанские атомные электрические станции» (ТОО «КАЭС») создано в 2014 году как оператор первой атомной электростанции в Республике Казахстан. Компания входит в периметр холдинга «Самрук-Энерго».</w:t>
      </w:r>
    </w:p>
    <w:p>
      <w:pPr>
        <w:spacing w:after="400"/>
      </w:pPr>
      <w:r>
        <w:rPr>
          <w:rFonts w:ascii="Arial" w:cs="Arial" w:eastAsia="Arial" w:hAnsi="Arial"/>
          <w:sz w:val="24"/>
          <w:szCs w:val="24"/>
        </w:rPr>
        <w:t xml:space="preserve">Основная миссия КАЭС — обеспечить Казахстан надёжным, безуглеродным и экономически эффективным источником электроэнергии за счёт строительства и эксплуатации атомных электростанций.</w:t>
      </w:r>
    </w:p>
    <w:p>
      <w:pPr>
        <w:pStyle w:val="Heading1"/>
      </w:pPr>
      <w:r>
        <w:t xml:space="preserve">2. Стратегические цели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К 2035 году КАЭС планирует достичь следующих ключевых показателей: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Ввод в эксплуатацию первого энергоблока мощностью не менее 1 200 МВт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Создание свыше 2 000 постоянных рабочих мест в атомной отрасли Казахстана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Снижение углеродного следа национальной энергосистемы на 7–9 млн тонн CO₂ в год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Обеспечение ядерной и радиационной безопасности в соответствии со стандартами МАГАТЭ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Подготовка не менее 500 квалифицированных специалистов атомной отрасли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Локализация не менее 30% строительных и сервисных работ среди отечественных поставщиков</w:t>
      </w:r>
    </w:p>
    <w:p>
      <w:pPr>
        <w:spacing w:after="200"/>
      </w:pPr>
    </w:p>
    <w:p>
      <w:pPr>
        <w:pStyle w:val="Heading1"/>
      </w:pPr>
      <w:r>
        <w:t xml:space="preserve">3. Дорожная карта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2200"/>
        <w:gridCol w:w="3806"/>
        <w:gridCol w:w="2100"/>
      </w:tblGrid>
      <w:tr>
        <w:trPr>
          <w:tblHeader/>
        </w:trP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408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Этап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408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Название</w:t>
            </w:r>
          </w:p>
        </w:tc>
        <w:tc>
          <w:tcPr>
            <w:tcW w:type="dxa" w:w="38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408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Содержание работ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E4080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Период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E4080"/>
                <w:sz w:val="22"/>
                <w:szCs w:val="22"/>
              </w:rPr>
              <w:t xml:space="preserve">01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C3C"/>
                <w:sz w:val="22"/>
                <w:szCs w:val="22"/>
              </w:rPr>
              <w:t xml:space="preserve">Инициация проекта</w:t>
            </w:r>
          </w:p>
        </w:tc>
        <w:tc>
          <w:tcPr>
            <w:tcW w:type="dxa" w:w="38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Формирование концепции, разработка ТЭО, выбор площадки и технологии. Старт диалога с международными партнёрами.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2014–2020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E4080"/>
                <w:sz w:val="22"/>
                <w:szCs w:val="22"/>
              </w:rPr>
              <w:t xml:space="preserve">02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C3C"/>
                <w:sz w:val="22"/>
                <w:szCs w:val="22"/>
              </w:rPr>
              <w:t xml:space="preserve">Предварительная проработка</w:t>
            </w:r>
          </w:p>
        </w:tc>
        <w:tc>
          <w:tcPr>
            <w:tcW w:type="dxa" w:w="38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Подготовка технических требований, экологическая экспертиза, предпроектные изыскания. Взаимодействие с МАГАТЭ.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2021–2023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E4080"/>
                <w:sz w:val="22"/>
                <w:szCs w:val="22"/>
              </w:rPr>
              <w:t xml:space="preserve">03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C3C"/>
                <w:sz w:val="22"/>
                <w:szCs w:val="22"/>
              </w:rPr>
              <w:t xml:space="preserve">Подготовка решений</w:t>
            </w:r>
          </w:p>
        </w:tc>
        <w:tc>
          <w:tcPr>
            <w:tcW w:type="dxa" w:w="38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Выбор технологического партнёра, заключение межправительственных соглашений, разработка ПСД и лицензирование.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2024–2026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E4080"/>
                <w:sz w:val="22"/>
                <w:szCs w:val="22"/>
              </w:rPr>
              <w:t xml:space="preserve">04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C3C"/>
                <w:sz w:val="22"/>
                <w:szCs w:val="22"/>
              </w:rPr>
              <w:t xml:space="preserve">Строительство и монтаж</w:t>
            </w:r>
          </w:p>
        </w:tc>
        <w:tc>
          <w:tcPr>
            <w:tcW w:type="dxa" w:w="38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Возведение объектов инфраструктуры, монтаж реакторного оборудования, испытания систем безопасности.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2027–2033</w:t>
            </w:r>
          </w:p>
        </w:tc>
      </w:tr>
      <w:tr>
        <w:tc>
          <w:tcPr>
            <w:tcW w:type="dxa" w:w="1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E4080"/>
                <w:sz w:val="22"/>
                <w:szCs w:val="22"/>
              </w:rPr>
              <w:t xml:space="preserve">05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0B1C3C"/>
                <w:sz w:val="22"/>
                <w:szCs w:val="22"/>
              </w:rPr>
              <w:t xml:space="preserve">Ввод в эксплуатацию</w:t>
            </w:r>
          </w:p>
        </w:tc>
        <w:tc>
          <w:tcPr>
            <w:tcW w:type="dxa" w:w="380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Физический и энергетический пуск, выход на проектную мощность, коммерческая эксплуатация первого энергоблока.</w:t>
            </w:r>
          </w:p>
        </w:tc>
        <w:tc>
          <w:tcPr>
            <w:tcW w:type="dxa" w:w="2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8FAF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B1C3C"/>
                <w:sz w:val="22"/>
                <w:szCs w:val="22"/>
              </w:rPr>
              <w:t xml:space="preserve">2034–2035</w:t>
            </w:r>
          </w:p>
        </w:tc>
      </w:tr>
    </w:tbl>
    <w:p>
      <w:pPr>
        <w:spacing w:after="400"/>
      </w:pPr>
    </w:p>
    <w:p>
      <w:pPr>
        <w:pStyle w:val="Heading1"/>
      </w:pPr>
      <w:r>
        <w:t xml:space="preserve">4. Проектные площадки</w:t>
      </w:r>
    </w:p>
    <w:p>
      <w:pPr>
        <w:spacing w:after="200"/>
      </w:pPr>
      <w:r>
        <w:rPr>
          <w:rFonts w:ascii="Arial" w:cs="Arial" w:eastAsia="Arial" w:hAnsi="Arial"/>
          <w:sz w:val="24"/>
          <w:szCs w:val="24"/>
        </w:rPr>
        <w:t xml:space="preserve">По результатам технико-экономических исследований рассматриваются две площадки:</w:t>
      </w:r>
    </w:p>
    <w:p>
      <w:pPr>
        <w:pStyle w:val="Heading2"/>
      </w:pPr>
      <w:r>
        <w:t xml:space="preserve">4.1 АЭС Балхаш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Местоположение: берег озера Балхаш, Жамбылская/Карагандинская область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Тип реактора: рассматриваются ВВЭР-1200 (российская технология), APR-1400 (корейская), Hualong One (китайская)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Установленная мощность: 2 × 1 200 МВт (первый энергоблок — к 2035 году)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Источник охлаждения: озеро Балхаш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Статус: предпроектные изыскания завершены, идёт выбор технологии</w:t>
      </w:r>
    </w:p>
    <w:p>
      <w:pPr>
        <w:spacing w:after="200"/>
      </w:pPr>
    </w:p>
    <w:p>
      <w:pPr>
        <w:pStyle w:val="Heading2"/>
      </w:pPr>
      <w:r>
        <w:t xml:space="preserve">4.2 АЭС Майнкум (резервная)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Местоположение: Улытауская область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Статус: рассматривается как альтернативная площадка для второго энергоблока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Arial" w:cs="Arial" w:eastAsia="Arial" w:hAnsi="Arial"/>
          <w:sz w:val="24"/>
          <w:szCs w:val="24"/>
        </w:rPr>
        <w:t xml:space="preserve">Целесообразность определяется по итогам строительства первого блока</w:t>
      </w:r>
    </w:p>
    <w:p>
      <w:pPr>
        <w:spacing w:after="400"/>
      </w:pPr>
    </w:p>
    <w:p>
      <w:pPr>
        <w:pStyle w:val="Heading1"/>
      </w:pPr>
      <w:r>
        <w:t xml:space="preserve">5. Безопасность и экология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КАЭС придерживается международных стандартов ядерной безопасности МАГАТЭ (серия NP-T, GSR, SSR) и требований WENRA. В числе ключевых обязательств: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Применение реакторов поколения III+ с пассивными системами безопасности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Независимая оценка площадки и проекта силами МАГАТЭ (миссии SITE, PEER, SAR)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Комплексная программа экологического мониторинга на всех этапах жизненного цикла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Прозрачное взаимодействие с общественностью: публичные слушания и открытая отчётность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Подготовка Национального плана по обращению с радиоактивными отходами</w:t>
      </w:r>
    </w:p>
    <w:p>
      <w:pPr>
        <w:spacing w:after="400"/>
      </w:pPr>
    </w:p>
    <w:p>
      <w:pPr>
        <w:pStyle w:val="Heading1"/>
      </w:pPr>
      <w:r>
        <w:t xml:space="preserve">6. Кадровая программа</w:t>
      </w:r>
    </w:p>
    <w:p>
      <w:pPr>
        <w:spacing w:after="160"/>
      </w:pPr>
      <w:r>
        <w:rPr>
          <w:rFonts w:ascii="Arial" w:cs="Arial" w:eastAsia="Arial" w:hAnsi="Arial"/>
          <w:sz w:val="24"/>
          <w:szCs w:val="24"/>
        </w:rPr>
        <w:t xml:space="preserve">Атомная отрасль требует уникальной экспертизы. КАЭС реализует многоуровневую систему подготовки кадров: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Партнёрство с ведущими ядерными университетами России, Кореи, Франции и Китая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Стажировки на действующих АЭС для будущих сотрудников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Программа «Атомный буст» для молодых специалистов и выпускников технических вузов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Создание учебно-тренировочного центра с полномасштабным симулятором реакторного зала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4"/>
          <w:szCs w:val="24"/>
        </w:rPr>
        <w:t xml:space="preserve">Локализация знаний: подготовка казахстанских инструкторов и экспертов</w:t>
      </w:r>
    </w:p>
    <w:p>
      <w:pPr>
        <w:spacing w:after="600"/>
      </w:pPr>
    </w:p>
    <w:p>
      <w:pPr>
        <w:spacing w:after="100"/>
      </w:pPr>
      <w:r>
        <w:rPr>
          <w:rFonts w:ascii="Arial" w:cs="Arial" w:eastAsia="Arial" w:hAnsi="Arial"/>
          <w:b/>
          <w:bCs/>
          <w:color w:val="1E4080"/>
          <w:sz w:val="22"/>
          <w:szCs w:val="22"/>
        </w:rPr>
        <w:t xml:space="preserve">Контактная информация</w:t>
      </w:r>
    </w:p>
    <w:p>
      <w:pPr>
        <w:spacing w:after="6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ТОО «КАЭС» — г. Астана, пр. Мангилик Ел, 55/17</w:t>
      </w:r>
    </w:p>
    <w:p>
      <w:pPr>
        <w:spacing w:after="60"/>
      </w:pPr>
      <w:r>
        <w:rPr>
          <w:rFonts w:ascii="Arial" w:cs="Arial" w:eastAsia="Arial" w:hAnsi="Arial"/>
          <w:color w:val="6B7280"/>
          <w:sz w:val="20"/>
          <w:szCs w:val="20"/>
        </w:rPr>
        <w:t xml:space="preserve">E-mail: kense@knpp.kz  |  Тел.: +7 (7172) 24 84 50  |  kaes.kz</w:t>
      </w:r>
    </w:p>
    <w:p>
      <w:r>
        <w:rPr>
          <w:rFonts w:ascii="Arial" w:cs="Arial" w:eastAsia="Arial" w:hAnsi="Arial"/>
          <w:i/>
          <w:iCs/>
          <w:color w:val="9CA3AF"/>
          <w:sz w:val="18"/>
          <w:szCs w:val="18"/>
        </w:rPr>
        <w:t xml:space="preserve">Версия документа: 1.0, апрель 2024</w:t>
      </w:r>
    </w:p>
    <w:sectPr>
      <w:headerReference w:type="default" r:id="rId7"/>
      <w:footerReference w:type="default" r:id="rId8"/>
      <w:pgSz w:w="11906" w:h="16838" w:orient="portrait"/>
      <w:pgMar w:top="1440" w:right="1300" w:bottom="144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E8F4" w:sz="4" w:space="8"/>
      </w:pBdr>
      <w:jc w:val="right"/>
    </w:pPr>
    <w:r>
      <w:rPr>
        <w:rFonts w:ascii="Arial" w:cs="Arial" w:eastAsia="Arial" w:hAnsi="Arial"/>
        <w:color w:val="9CA3AF"/>
        <w:sz w:val="18"/>
        <w:szCs w:val="18"/>
      </w:rPr>
      <w:t xml:space="preserve">КАЭС — Казахстанские атомные электрические станции</w:t>
    </w:r>
    <w:r>
      <w:rPr>
        <w:rFonts w:ascii="Arial" w:cs="Arial" w:eastAsia="Arial" w:hAnsi="Arial"/>
        <w:color w:val="9CA3AF"/>
        <w:sz w:val="18"/>
        <w:szCs w:val="18"/>
      </w:rPr>
      <w:t xml:space="preserve">     Стр. </w:t>
    </w:r>
    <w:r>
      <w:rPr>
        <w:rFonts w:ascii="Arial" w:cs="Arial" w:eastAsia="Arial" w:hAnsi="Arial"/>
        <w:color w:val="9CA3AF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E8F4" w:sz="4" w:space="8"/>
      </w:pBdr>
    </w:pPr>
    <w:r>
      <w:rPr>
        <w:rFonts w:ascii="Arial" w:cs="Arial" w:eastAsia="Arial" w:hAnsi="Arial"/>
        <w:color w:val="6B7280"/>
        <w:sz w:val="18"/>
        <w:szCs w:val="18"/>
      </w:rPr>
      <w:t xml:space="preserve">ТОО «Казахстанские атомные электрические станции»</w:t>
    </w:r>
    <w:r>
      <w:rPr>
        <w:rFonts w:ascii="Arial" w:cs="Arial" w:eastAsia="Arial" w:hAnsi="Arial"/>
        <w:color w:val="D1D5DB"/>
        <w:sz w:val="18"/>
        <w:szCs w:val="18"/>
      </w:rPr>
      <w:t xml:space="preserve">   |   </w:t>
    </w:r>
    <w:r>
      <w:rPr>
        <w:rFonts w:ascii="Arial" w:cs="Arial" w:eastAsia="Arial" w:hAnsi="Arial"/>
        <w:color w:val="1E4080"/>
        <w:sz w:val="18"/>
        <w:szCs w:val="18"/>
      </w:rPr>
      <w:t xml:space="preserve">План развития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360"/>
      <w:outlineLvl w:val="0"/>
    </w:pPr>
    <w:rPr>
      <w:rFonts w:ascii="Arial" w:cs="Arial" w:eastAsia="Arial" w:hAnsi="Arial"/>
      <w:b/>
      <w:bCs/>
      <w:color w:val="0B1C3C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40" w:before="300"/>
      <w:outlineLvl w:val="1"/>
    </w:pPr>
    <w:rPr>
      <w:rFonts w:ascii="Arial" w:cs="Arial" w:eastAsia="Arial" w:hAnsi="Arial"/>
      <w:b/>
      <w:bCs/>
      <w:color w:val="1E4080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00" w:before="240"/>
      <w:outlineLvl w:val="2"/>
    </w:pPr>
    <w:rPr>
      <w:rFonts w:ascii="Arial" w:cs="Arial" w:eastAsia="Arial" w:hAnsi="Arial"/>
      <w:b/>
      <w:bCs/>
      <w:color w:val="374151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2026-04-15T11:39:52.120Z</dcterms:created>
  <dcterms:modified xsi:type="dcterms:W3CDTF">2026-04-15T11:39:52.120Z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